
<file path=[Content_Types].xml><?xml version="1.0" encoding="utf-8"?>
<Types xmlns="http://schemas.openxmlformats.org/package/2006/content-types">
  <Default ContentType="image/png" Extension="png"/>
  <Default ContentType="image/jpeg" Extension="jpeg"/>
  <Default ContentType="image/jpeg" Extension="jpg"/>
  <Default ContentType="image/bmp" Extension="bmp"/>
  <Default ContentType="image/gif" Extension="gif"/>
  <Default ContentType="image/svg+xml" Extension="svg"/>
  <Default ContentType="application/vnd.openxmlformats-package.relationships+xml" Extension="rels"/>
  <Default ContentType="application/xml" Extension="xml"/>
  <Default ContentType="application/vnd.openxmlformats-officedocument.obfuscatedFont" Extension="odttf"/>
  <Override ContentType="application/vnd.openxmlformats-officedocument.wordprocessingml.document.main+xml" PartName="/word/document.xml"/>
  <Override ContentType="application/vnd.openxmlformats-officedocument.wordprocessingml.styles+xml" PartName="/word/styles.xml"/>
  <Override ContentType="application/vnd.openxmlformats-package.core-properties+xml" PartName="/docProps/core.xml"/>
  <Override ContentType="application/vnd.openxmlformats-officedocument.custom-properties+xml" PartName="/docProps/custom.xml"/>
  <Override ContentType="application/vnd.openxmlformats-officedocument.extended-properties+xml" PartName="/docProps/app.xml"/>
  <Override ContentType="application/vnd.openxmlformats-officedocument.wordprocessingml.numbering+xml" PartName="/word/numbering.xml"/>
  <Override ContentType="application/vnd.openxmlformats-officedocument.wordprocessingml.footnotes+xml" PartName="/word/footnotes.xml"/>
  <Override ContentType="application/vnd.openxmlformats-officedocument.wordprocessingml.settings+xml" PartName="/word/settings.xml"/>
  <Override ContentType="application/vnd.openxmlformats-officedocument.wordprocessingml.comments+xml" PartName="/word/comments.xml"/>
  <Override ContentType="application/vnd.openxmlformats-officedocument.wordprocessingml.fontTable+xml" PartName="/word/fontTable.xml"/>
  <Override ContentType="application/vnd.openxmlformats-officedocument.wordprocessingml.header+xml" PartName="/word/header1.xml"/>
</Types>
</file>

<file path=_rels/.rels><?xml version="1.0" encoding="UTF-8"?><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aink="http://schemas.microsoft.com/office/drawing/2016/ink" xmlns:am3d="http://schemas.microsoft.com/office/drawing/2017/model3d"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p14">
  <w:body>
    <w:p>
      <w:pPr>
        <w:pStyle w:val="Heading1"/>
      </w:pPr>
      <w:r>
        <w:rPr>
          <w:rFonts w:ascii="Arial" w:cs="Arial" w:eastAsia="Arial" w:hAnsi="Arial"/>
          <w:b/>
          <w:bCs/>
          <w:color w:val="1B3A5C"/>
          <w:sz w:val="32"/>
          <w:szCs w:val="32"/>
        </w:rPr>
        <w:t xml:space="preserve">Test depth policy</w:t>
      </w:r>
    </w:p>
    <w:p>
      <w:pPr>
        <w:spacing w:after="200"/>
      </w:pPr>
      <w:r>
        <w:rPr>
          <w:rFonts w:ascii="Arial" w:cs="Arial" w:eastAsia="Arial" w:hAnsi="Arial"/>
          <w:color w:val="444444"/>
          <w:sz w:val="20"/>
          <w:szCs w:val="20"/>
        </w:rPr>
        <w:t xml:space="preserve">This policy defines what testing looks like at each risk tier. It applies to all testing activities across sprints and releases. When in doubt, test to the tier assigned in the risk register.</w:t>
      </w:r>
    </w:p>
    <w:tbl>
      <w:tblPr>
        <w:tblW w:type="dxa" w:w="9506"/>
        <w:tblBorders>
          <w:top w:val="single" w:color="auto" w:sz="4"/>
          <w:left w:val="single" w:color="auto" w:sz="4"/>
          <w:bottom w:val="single" w:color="auto" w:sz="4"/>
          <w:right w:val="single" w:color="auto" w:sz="4"/>
          <w:insideH w:val="single" w:color="auto" w:sz="4"/>
          <w:insideV w:val="single" w:color="auto" w:sz="4"/>
        </w:tblBorders>
      </w:tblPr>
      <w:tblGrid>
        <w:gridCol w:w="1600"/>
        <w:gridCol w:w="3953"/>
        <w:gridCol w:w="3953"/>
      </w:tblGrid>
      <w:tr>
        <w:tc>
          <w:tcPr>
            <w:tcW w:type="dxa" w:w="1600"/>
            <w:tcBorders>
              <w:top w:val="single" w:color="CCCCCC" w:sz="1"/>
              <w:left w:val="single" w:color="CCCCCC" w:sz="1"/>
              <w:bottom w:val="single" w:color="CCCCCC" w:sz="1"/>
              <w:right w:val="single" w:color="CCCCCC" w:sz="1"/>
            </w:tcBorders>
            <w:shd w:fill="1B3A5C" w:val="clear"/>
            <w:tcMar>
              <w:top w:type="dxa" w:w="60"/>
              <w:left w:type="dxa" w:w="100"/>
              <w:bottom w:type="dxa" w:w="60"/>
              <w:right w:type="dxa" w:w="100"/>
            </w:tcMar>
            <w:vAlign w:val="center"/>
          </w:tcPr>
          <w:p>
            <w:pPr>
              <w:jc w:val="left"/>
            </w:pPr>
            <w:r>
              <w:rPr>
                <w:rFonts w:ascii="Arial" w:cs="Arial" w:eastAsia="Arial" w:hAnsi="Arial"/>
                <w:b/>
                <w:bCs/>
                <w:color w:val="FFFFFF"/>
                <w:sz w:val="20"/>
                <w:szCs w:val="20"/>
              </w:rPr>
              <w:t xml:space="preserve">Tier</w:t>
            </w:r>
          </w:p>
        </w:tc>
        <w:tc>
          <w:tcPr>
            <w:tcW w:type="dxa" w:w="3953"/>
            <w:tcBorders>
              <w:top w:val="single" w:color="CCCCCC" w:sz="1"/>
              <w:left w:val="single" w:color="CCCCCC" w:sz="1"/>
              <w:bottom w:val="single" w:color="CCCCCC" w:sz="1"/>
              <w:right w:val="single" w:color="CCCCCC" w:sz="1"/>
            </w:tcBorders>
            <w:shd w:fill="1B3A5C" w:val="clear"/>
            <w:tcMar>
              <w:top w:type="dxa" w:w="60"/>
              <w:left w:type="dxa" w:w="100"/>
              <w:bottom w:type="dxa" w:w="60"/>
              <w:right w:type="dxa" w:w="100"/>
            </w:tcMar>
            <w:vAlign w:val="center"/>
          </w:tcPr>
          <w:p>
            <w:pPr>
              <w:jc w:val="left"/>
            </w:pPr>
            <w:r>
              <w:rPr>
                <w:rFonts w:ascii="Arial" w:cs="Arial" w:eastAsia="Arial" w:hAnsi="Arial"/>
                <w:b/>
                <w:bCs/>
                <w:color w:val="FFFFFF"/>
                <w:sz w:val="20"/>
                <w:szCs w:val="20"/>
              </w:rPr>
              <w:t xml:space="preserve">What to test</w:t>
            </w:r>
          </w:p>
        </w:tc>
        <w:tc>
          <w:tcPr>
            <w:tcW w:type="dxa" w:w="3953"/>
            <w:tcBorders>
              <w:top w:val="single" w:color="CCCCCC" w:sz="1"/>
              <w:left w:val="single" w:color="CCCCCC" w:sz="1"/>
              <w:bottom w:val="single" w:color="CCCCCC" w:sz="1"/>
              <w:right w:val="single" w:color="CCCCCC" w:sz="1"/>
            </w:tcBorders>
            <w:shd w:fill="1B3A5C" w:val="clear"/>
            <w:tcMar>
              <w:top w:type="dxa" w:w="60"/>
              <w:left w:type="dxa" w:w="100"/>
              <w:bottom w:type="dxa" w:w="60"/>
              <w:right w:type="dxa" w:w="100"/>
            </w:tcMar>
            <w:vAlign w:val="center"/>
          </w:tcPr>
          <w:p>
            <w:pPr>
              <w:jc w:val="left"/>
            </w:pPr>
            <w:r>
              <w:rPr>
                <w:rFonts w:ascii="Arial" w:cs="Arial" w:eastAsia="Arial" w:hAnsi="Arial"/>
                <w:b/>
                <w:bCs/>
                <w:color w:val="FFFFFF"/>
                <w:sz w:val="20"/>
                <w:szCs w:val="20"/>
              </w:rPr>
              <w:t xml:space="preserve">Techniques</w:t>
            </w:r>
          </w:p>
        </w:tc>
      </w:tr>
      <w:tr>
        <w:tc>
          <w:tcPr>
            <w:tcW w:type="dxa" w:w="1600"/>
            <w:tcBorders>
              <w:top w:val="single" w:color="CCCCCC" w:sz="1"/>
              <w:left w:val="single" w:color="CCCCCC" w:sz="1"/>
              <w:bottom w:val="single" w:color="CCCCCC" w:sz="1"/>
              <w:right w:val="single" w:color="CCCCCC" w:sz="1"/>
            </w:tcBorders>
            <w:shd w:fill="F4CCCC" w:val="clear"/>
            <w:tcMar>
              <w:top w:type="dxa" w:w="60"/>
              <w:left w:type="dxa" w:w="100"/>
              <w:bottom w:type="dxa" w:w="60"/>
              <w:right w:type="dxa" w:w="100"/>
            </w:tcMar>
            <w:vAlign w:val="top"/>
          </w:tcPr>
          <w:p>
            <w:pPr>
              <w:spacing w:after="40"/>
            </w:pPr>
            <w:r>
              <w:rPr>
                <w:rFonts w:ascii="Arial" w:cs="Arial" w:eastAsia="Arial" w:hAnsi="Arial"/>
                <w:b/>
                <w:bCs/>
                <w:sz w:val="19"/>
                <w:szCs w:val="19"/>
              </w:rPr>
              <w:t xml:space="preserve">Tier 1</w:t>
            </w:r>
            <w:r>
              <w:rPr>
                <w:rFonts w:ascii="Arial" w:cs="Arial" w:eastAsia="Arial" w:hAnsi="Arial"/>
                <w:sz w:val="19"/>
                <w:szCs w:val="19"/>
              </w:rPr>
              <w:t xml:space="preserve">
High Risk
(Score 6-9)</w:t>
            </w:r>
          </w:p>
        </w:tc>
        <w:tc>
          <w:tcPr>
            <w:tcW w:type="dxa" w:w="3953"/>
            <w:tcBorders>
              <w:top w:val="single" w:color="CCCCCC" w:sz="1"/>
              <w:left w:val="single" w:color="CCCCCC" w:sz="1"/>
              <w:bottom w:val="single" w:color="CCCCCC" w:sz="1"/>
              <w:right w:val="single" w:color="CCCCCC" w:sz="1"/>
            </w:tcBorders>
            <w:tcMar>
              <w:top w:type="dxa" w:w="60"/>
              <w:left w:type="dxa" w:w="100"/>
              <w:bottom w:type="dxa" w:w="60"/>
              <w:right w:type="dxa" w:w="100"/>
            </w:tcMar>
            <w:vAlign w:val="top"/>
          </w:tcPr>
          <w:p>
            <w:pPr>
              <w:spacing w:after="40"/>
            </w:pPr>
            <w:r>
              <w:rPr>
                <w:rFonts w:ascii="Arial" w:cs="Arial" w:eastAsia="Arial" w:hAnsi="Arial"/>
                <w:b/>
                <w:bCs/>
                <w:sz w:val="19"/>
                <w:szCs w:val="19"/>
              </w:rPr>
              <w:t xml:space="preserve">Baseline</w:t>
            </w:r>
            <w:r>
              <w:rPr>
                <w:rFonts w:ascii="Arial" w:cs="Arial" w:eastAsia="Arial" w:hAnsi="Arial"/>
                <w:sz w:val="19"/>
                <w:szCs w:val="19"/>
              </w:rPr>
              <w:t xml:space="preserve"> (smoke + happy path)</w:t>
            </w:r>
            <w:r>
              <w:rPr>
                <w:rFonts w:ascii="Arial" w:cs="Arial" w:eastAsia="Arial" w:hAnsi="Arial"/>
                <w:sz w:val="19"/>
                <w:szCs w:val="19"/>
              </w:rPr>
              <w:t xml:space="preserve">
+ Negative / failure cases</w:t>
            </w:r>
            <w:r>
              <w:rPr>
                <w:rFonts w:ascii="Arial" w:cs="Arial" w:eastAsia="Arial" w:hAnsi="Arial"/>
                <w:sz w:val="19"/>
                <w:szCs w:val="19"/>
              </w:rPr>
              <w:t xml:space="preserve">
+ Boundary value testing</w:t>
            </w:r>
            <w:r>
              <w:rPr>
                <w:rFonts w:ascii="Arial" w:cs="Arial" w:eastAsia="Arial" w:hAnsi="Arial"/>
                <w:sz w:val="19"/>
                <w:szCs w:val="19"/>
              </w:rPr>
              <w:t xml:space="preserve">
+ Integration scenarios</w:t>
            </w:r>
            <w:r>
              <w:rPr>
                <w:rFonts w:ascii="Arial" w:cs="Arial" w:eastAsia="Arial" w:hAnsi="Arial"/>
                <w:sz w:val="19"/>
                <w:szCs w:val="19"/>
              </w:rPr>
              <w:t xml:space="preserve">
+ State transition paths</w:t>
            </w:r>
            <w:r>
              <w:rPr>
                <w:rFonts w:ascii="Arial" w:cs="Arial" w:eastAsia="Arial" w:hAnsi="Arial"/>
                <w:sz w:val="19"/>
                <w:szCs w:val="19"/>
              </w:rPr>
              <w:t xml:space="preserve">
+ Exploratory charter (targeted)</w:t>
            </w:r>
          </w:p>
        </w:tc>
        <w:tc>
          <w:tcPr>
            <w:tcW w:type="dxa" w:w="3953"/>
            <w:tcBorders>
              <w:top w:val="single" w:color="CCCCCC" w:sz="1"/>
              <w:left w:val="single" w:color="CCCCCC" w:sz="1"/>
              <w:bottom w:val="single" w:color="CCCCCC" w:sz="1"/>
              <w:right w:val="single" w:color="CCCCCC" w:sz="1"/>
            </w:tcBorders>
            <w:tcMar>
              <w:top w:type="dxa" w:w="60"/>
              <w:left w:type="dxa" w:w="100"/>
              <w:bottom w:type="dxa" w:w="60"/>
              <w:right w:type="dxa" w:w="100"/>
            </w:tcMar>
            <w:vAlign w:val="top"/>
          </w:tcPr>
          <w:p>
            <w:pPr>
              <w:spacing w:after="40"/>
            </w:pPr>
            <w:r>
              <w:rPr>
                <w:rFonts w:ascii="Arial" w:cs="Arial" w:eastAsia="Arial" w:hAnsi="Arial"/>
                <w:sz w:val="19"/>
                <w:szCs w:val="19"/>
              </w:rPr>
              <w:t xml:space="preserve">Equivalence partitioning
Boundary value analysis
State transition testing
Error guessing
Exploratory testing (time-boxed)
Load/stress if applicable</w:t>
            </w:r>
          </w:p>
        </w:tc>
      </w:tr>
      <w:tr>
        <w:tc>
          <w:tcPr>
            <w:tcW w:type="dxa" w:w="1600"/>
            <w:tcBorders>
              <w:top w:val="single" w:color="CCCCCC" w:sz="1"/>
              <w:left w:val="single" w:color="CCCCCC" w:sz="1"/>
              <w:bottom w:val="single" w:color="CCCCCC" w:sz="1"/>
              <w:right w:val="single" w:color="CCCCCC" w:sz="1"/>
            </w:tcBorders>
            <w:shd w:fill="FCE5CD" w:val="clear"/>
            <w:tcMar>
              <w:top w:type="dxa" w:w="60"/>
              <w:left w:type="dxa" w:w="100"/>
              <w:bottom w:type="dxa" w:w="60"/>
              <w:right w:type="dxa" w:w="100"/>
            </w:tcMar>
            <w:vAlign w:val="top"/>
          </w:tcPr>
          <w:p>
            <w:pPr>
              <w:spacing w:after="40"/>
            </w:pPr>
            <w:r>
              <w:rPr>
                <w:rFonts w:ascii="Arial" w:cs="Arial" w:eastAsia="Arial" w:hAnsi="Arial"/>
                <w:b/>
                <w:bCs/>
                <w:sz w:val="19"/>
                <w:szCs w:val="19"/>
              </w:rPr>
              <w:t xml:space="preserve">Tier 2</w:t>
            </w:r>
            <w:r>
              <w:rPr>
                <w:rFonts w:ascii="Arial" w:cs="Arial" w:eastAsia="Arial" w:hAnsi="Arial"/>
                <w:sz w:val="19"/>
                <w:szCs w:val="19"/>
              </w:rPr>
              <w:t xml:space="preserve">
Medium Risk
(Score 3-4)</w:t>
            </w:r>
          </w:p>
        </w:tc>
        <w:tc>
          <w:tcPr>
            <w:tcW w:type="dxa" w:w="3953"/>
            <w:tcBorders>
              <w:top w:val="single" w:color="CCCCCC" w:sz="1"/>
              <w:left w:val="single" w:color="CCCCCC" w:sz="1"/>
              <w:bottom w:val="single" w:color="CCCCCC" w:sz="1"/>
              <w:right w:val="single" w:color="CCCCCC" w:sz="1"/>
            </w:tcBorders>
            <w:tcMar>
              <w:top w:type="dxa" w:w="60"/>
              <w:left w:type="dxa" w:w="100"/>
              <w:bottom w:type="dxa" w:w="60"/>
              <w:right w:type="dxa" w:w="100"/>
            </w:tcMar>
            <w:vAlign w:val="top"/>
          </w:tcPr>
          <w:p>
            <w:pPr>
              <w:spacing w:after="40"/>
            </w:pPr>
            <w:r>
              <w:rPr>
                <w:rFonts w:ascii="Arial" w:cs="Arial" w:eastAsia="Arial" w:hAnsi="Arial"/>
                <w:b/>
                <w:bCs/>
                <w:sz w:val="19"/>
                <w:szCs w:val="19"/>
              </w:rPr>
              <w:t xml:space="preserve">Baseline</w:t>
            </w:r>
            <w:r>
              <w:rPr>
                <w:rFonts w:ascii="Arial" w:cs="Arial" w:eastAsia="Arial" w:hAnsi="Arial"/>
                <w:sz w:val="19"/>
                <w:szCs w:val="19"/>
              </w:rPr>
              <w:t xml:space="preserve"> (smoke + happy path)</w:t>
            </w:r>
            <w:r>
              <w:rPr>
                <w:rFonts w:ascii="Arial" w:cs="Arial" w:eastAsia="Arial" w:hAnsi="Arial"/>
                <w:sz w:val="19"/>
                <w:szCs w:val="19"/>
              </w:rPr>
              <w:t xml:space="preserve">
+ Key boundaries</w:t>
            </w:r>
            <w:r>
              <w:rPr>
                <w:rFonts w:ascii="Arial" w:cs="Arial" w:eastAsia="Arial" w:hAnsi="Arial"/>
                <w:sz w:val="19"/>
                <w:szCs w:val="19"/>
              </w:rPr>
              <w:t xml:space="preserve">
+ Basic integration checks</w:t>
            </w:r>
            <w:r>
              <w:rPr>
                <w:rFonts w:ascii="Arial" w:cs="Arial" w:eastAsia="Arial" w:hAnsi="Arial"/>
                <w:sz w:val="19"/>
                <w:szCs w:val="19"/>
              </w:rPr>
              <w:t xml:space="preserve">
+ Primary negative cases only</w:t>
            </w:r>
          </w:p>
        </w:tc>
        <w:tc>
          <w:tcPr>
            <w:tcW w:type="dxa" w:w="3953"/>
            <w:tcBorders>
              <w:top w:val="single" w:color="CCCCCC" w:sz="1"/>
              <w:left w:val="single" w:color="CCCCCC" w:sz="1"/>
              <w:bottom w:val="single" w:color="CCCCCC" w:sz="1"/>
              <w:right w:val="single" w:color="CCCCCC" w:sz="1"/>
            </w:tcBorders>
            <w:tcMar>
              <w:top w:type="dxa" w:w="60"/>
              <w:left w:type="dxa" w:w="100"/>
              <w:bottom w:type="dxa" w:w="60"/>
              <w:right w:type="dxa" w:w="100"/>
            </w:tcMar>
            <w:vAlign w:val="top"/>
          </w:tcPr>
          <w:p>
            <w:pPr>
              <w:spacing w:after="40"/>
            </w:pPr>
            <w:r>
              <w:rPr>
                <w:rFonts w:ascii="Arial" w:cs="Arial" w:eastAsia="Arial" w:hAnsi="Arial"/>
                <w:sz w:val="19"/>
                <w:szCs w:val="19"/>
              </w:rPr>
              <w:t xml:space="preserve">Happy path validation
Key boundary checks
Basic integration verification
Primary error paths</w:t>
            </w:r>
          </w:p>
        </w:tc>
      </w:tr>
      <w:tr>
        <w:tc>
          <w:tcPr>
            <w:tcW w:type="dxa" w:w="1600"/>
            <w:tcBorders>
              <w:top w:val="single" w:color="CCCCCC" w:sz="1"/>
              <w:left w:val="single" w:color="CCCCCC" w:sz="1"/>
              <w:bottom w:val="single" w:color="CCCCCC" w:sz="1"/>
              <w:right w:val="single" w:color="CCCCCC" w:sz="1"/>
            </w:tcBorders>
            <w:shd w:fill="D9EAD3" w:val="clear"/>
            <w:tcMar>
              <w:top w:type="dxa" w:w="60"/>
              <w:left w:type="dxa" w:w="100"/>
              <w:bottom w:type="dxa" w:w="60"/>
              <w:right w:type="dxa" w:w="100"/>
            </w:tcMar>
            <w:vAlign w:val="top"/>
          </w:tcPr>
          <w:p>
            <w:pPr>
              <w:spacing w:after="40"/>
            </w:pPr>
            <w:r>
              <w:rPr>
                <w:rFonts w:ascii="Arial" w:cs="Arial" w:eastAsia="Arial" w:hAnsi="Arial"/>
                <w:b/>
                <w:bCs/>
                <w:sz w:val="19"/>
                <w:szCs w:val="19"/>
              </w:rPr>
              <w:t xml:space="preserve">Tier 3</w:t>
            </w:r>
            <w:r>
              <w:rPr>
                <w:rFonts w:ascii="Arial" w:cs="Arial" w:eastAsia="Arial" w:hAnsi="Arial"/>
                <w:sz w:val="19"/>
                <w:szCs w:val="19"/>
              </w:rPr>
              <w:t xml:space="preserve">
Low Risk
(Score 1-2)</w:t>
            </w:r>
          </w:p>
        </w:tc>
        <w:tc>
          <w:tcPr>
            <w:tcW w:type="dxa" w:w="3953"/>
            <w:tcBorders>
              <w:top w:val="single" w:color="CCCCCC" w:sz="1"/>
              <w:left w:val="single" w:color="CCCCCC" w:sz="1"/>
              <w:bottom w:val="single" w:color="CCCCCC" w:sz="1"/>
              <w:right w:val="single" w:color="CCCCCC" w:sz="1"/>
            </w:tcBorders>
            <w:tcMar>
              <w:top w:type="dxa" w:w="60"/>
              <w:left w:type="dxa" w:w="100"/>
              <w:bottom w:type="dxa" w:w="60"/>
              <w:right w:type="dxa" w:w="100"/>
            </w:tcMar>
            <w:vAlign w:val="top"/>
          </w:tcPr>
          <w:p>
            <w:pPr>
              <w:spacing w:after="40"/>
            </w:pPr>
            <w:r>
              <w:rPr>
                <w:rFonts w:ascii="Arial" w:cs="Arial" w:eastAsia="Arial" w:hAnsi="Arial"/>
                <w:b/>
                <w:bCs/>
                <w:sz w:val="19"/>
                <w:szCs w:val="19"/>
              </w:rPr>
              <w:t xml:space="preserve">Baseline only</w:t>
            </w:r>
            <w:r>
              <w:rPr>
                <w:rFonts w:ascii="Arial" w:cs="Arial" w:eastAsia="Arial" w:hAnsi="Arial"/>
                <w:sz w:val="19"/>
                <w:szCs w:val="19"/>
              </w:rPr>
              <w:t xml:space="preserve">
Smoke-level checks</w:t>
            </w:r>
            <w:r>
              <w:rPr>
                <w:rFonts w:ascii="Arial" w:cs="Arial" w:eastAsia="Arial" w:hAnsi="Arial"/>
                <w:sz w:val="19"/>
                <w:szCs w:val="19"/>
              </w:rPr>
              <w:t xml:space="preserve">
Confirm it loads / works at all</w:t>
            </w:r>
            <w:r>
              <w:rPr>
                <w:rFonts w:ascii="Arial" w:cs="Arial" w:eastAsia="Arial" w:hAnsi="Arial"/>
                <w:sz w:val="19"/>
                <w:szCs w:val="19"/>
              </w:rPr>
              <w:t xml:space="preserve">
Deeper coverage only if time permits</w:t>
            </w:r>
          </w:p>
        </w:tc>
        <w:tc>
          <w:tcPr>
            <w:tcW w:type="dxa" w:w="3953"/>
            <w:tcBorders>
              <w:top w:val="single" w:color="CCCCCC" w:sz="1"/>
              <w:left w:val="single" w:color="CCCCCC" w:sz="1"/>
              <w:bottom w:val="single" w:color="CCCCCC" w:sz="1"/>
              <w:right w:val="single" w:color="CCCCCC" w:sz="1"/>
            </w:tcBorders>
            <w:tcMar>
              <w:top w:type="dxa" w:w="60"/>
              <w:left w:type="dxa" w:w="100"/>
              <w:bottom w:type="dxa" w:w="60"/>
              <w:right w:type="dxa" w:w="100"/>
            </w:tcMar>
            <w:vAlign w:val="top"/>
          </w:tcPr>
          <w:p>
            <w:pPr>
              <w:spacing w:after="40"/>
            </w:pPr>
            <w:r>
              <w:rPr>
                <w:rFonts w:ascii="Arial" w:cs="Arial" w:eastAsia="Arial" w:hAnsi="Arial"/>
                <w:sz w:val="19"/>
                <w:szCs w:val="19"/>
              </w:rPr>
              <w:t xml:space="preserve">Smoke testing
Visual confirmation
No edge case coverage unless time allows</w:t>
            </w:r>
          </w:p>
        </w:tc>
      </w:tr>
    </w:tbl>
    <w:p>
      <w:pPr>
        <w:pStyle w:val="Heading2"/>
        <w:spacing w:before="200"/>
      </w:pPr>
      <w:r>
        <w:rPr>
          <w:b/>
          <w:bCs/>
        </w:rPr>
        <w:t xml:space="preserve">Execution order</w:t>
      </w:r>
    </w:p>
    <w:p>
      <w:pPr>
        <w:spacing w:after="40"/>
      </w:pPr>
      <w:r>
        <w:rPr>
          <w:rFonts w:ascii="Arial" w:cs="Arial" w:eastAsia="Arial" w:hAnsi="Arial"/>
          <w:b/>
          <w:bCs/>
          <w:sz w:val="19"/>
          <w:szCs w:val="19"/>
        </w:rPr>
        <w:t xml:space="preserve">1. </w:t>
      </w:r>
      <w:r>
        <w:rPr>
          <w:rFonts w:ascii="Arial" w:cs="Arial" w:eastAsia="Arial" w:hAnsi="Arial"/>
          <w:sz w:val="19"/>
          <w:szCs w:val="19"/>
        </w:rPr>
        <w:t xml:space="preserve">Minimum baseline (always, every time, no exceptions)</w:t>
      </w:r>
    </w:p>
    <w:p>
      <w:pPr>
        <w:spacing w:after="40"/>
      </w:pPr>
      <w:r>
        <w:rPr>
          <w:rFonts w:ascii="Arial" w:cs="Arial" w:eastAsia="Arial" w:hAnsi="Arial"/>
          <w:b/>
          <w:bCs/>
          <w:sz w:val="19"/>
          <w:szCs w:val="19"/>
        </w:rPr>
        <w:t xml:space="preserve">2. </w:t>
      </w:r>
      <w:r>
        <w:rPr>
          <w:rFonts w:ascii="Arial" w:cs="Arial" w:eastAsia="Arial" w:hAnsi="Arial"/>
          <w:sz w:val="19"/>
          <w:szCs w:val="19"/>
        </w:rPr>
        <w:t xml:space="preserve">Tier 1 items (protect the business)</w:t>
      </w:r>
    </w:p>
    <w:p>
      <w:pPr>
        <w:spacing w:after="40"/>
      </w:pPr>
      <w:r>
        <w:rPr>
          <w:rFonts w:ascii="Arial" w:cs="Arial" w:eastAsia="Arial" w:hAnsi="Arial"/>
          <w:b/>
          <w:bCs/>
          <w:sz w:val="19"/>
          <w:szCs w:val="19"/>
        </w:rPr>
        <w:t xml:space="preserve">3. </w:t>
      </w:r>
      <w:r>
        <w:rPr>
          <w:rFonts w:ascii="Arial" w:cs="Arial" w:eastAsia="Arial" w:hAnsi="Arial"/>
          <w:sz w:val="19"/>
          <w:szCs w:val="19"/>
        </w:rPr>
        <w:t xml:space="preserve">Tier 2 items (standard coverage)</w:t>
      </w:r>
    </w:p>
    <w:p>
      <w:pPr>
        <w:spacing w:after="120"/>
      </w:pPr>
      <w:r>
        <w:rPr>
          <w:rFonts w:ascii="Arial" w:cs="Arial" w:eastAsia="Arial" w:hAnsi="Arial"/>
          <w:b/>
          <w:bCs/>
          <w:sz w:val="19"/>
          <w:szCs w:val="19"/>
        </w:rPr>
        <w:t xml:space="preserve">4. </w:t>
      </w:r>
      <w:r>
        <w:rPr>
          <w:rFonts w:ascii="Arial" w:cs="Arial" w:eastAsia="Arial" w:hAnsi="Arial"/>
          <w:sz w:val="19"/>
          <w:szCs w:val="19"/>
        </w:rPr>
        <w:t xml:space="preserve">Tier 3 items (only if capacity remains)</w:t>
      </w:r>
    </w:p>
    <w:p>
      <w:pPr>
        <w:spacing w:after="60"/>
      </w:pPr>
      <w:r>
        <w:rPr>
          <w:rFonts w:ascii="Arial" w:cs="Arial" w:eastAsia="Arial" w:hAnsi="Arial"/>
          <w:sz w:val="19"/>
          <w:szCs w:val="19"/>
        </w:rPr>
        <w:t xml:space="preserve">If testing gets cut short, this order means you've covered what matters most. That's an informed trade-off, not an accident.</w:t>
      </w:r>
    </w:p>
    <w:p>
      <w:pPr>
        <w:pStyle w:val="Heading2"/>
        <w:spacing w:before="160"/>
      </w:pPr>
      <w:r>
        <w:rPr>
          <w:b/>
          <w:bCs/>
        </w:rPr>
        <w:t xml:space="preserve">Non-negotiables</w:t>
      </w:r>
    </w:p>
    <w:p>
      <w:pPr>
        <w:spacing w:after="40"/>
      </w:pPr>
      <w:r>
        <w:rPr>
          <w:rFonts w:ascii="Arial" w:cs="Arial" w:eastAsia="Arial" w:hAnsi="Arial"/>
          <w:sz w:val="19"/>
          <w:szCs w:val="19"/>
        </w:rPr>
        <w:t xml:space="preserve">The minimum baseline runs every release. No exceptions.</w:t>
      </w:r>
    </w:p>
    <w:p>
      <w:pPr>
        <w:spacing w:after="40"/>
      </w:pPr>
      <w:r>
        <w:rPr>
          <w:rFonts w:ascii="Arial" w:cs="Arial" w:eastAsia="Arial" w:hAnsi="Arial"/>
          <w:sz w:val="19"/>
          <w:szCs w:val="19"/>
        </w:rPr>
        <w:t xml:space="preserve">All Tier 1 items get tested before release. If a Tier 1 item cannot be tested, that is an explicit risk acceptance requiring sign-off from the release owner.</w:t>
      </w:r>
    </w:p>
    <w:p>
      <w:pPr>
        <w:spacing w:after="40"/>
      </w:pPr>
      <w:r>
        <w:rPr>
          <w:rFonts w:ascii="Arial" w:cs="Arial" w:eastAsia="Arial" w:hAnsi="Arial"/>
          <w:sz w:val="19"/>
          <w:szCs w:val="19"/>
        </w:rPr>
        <w:t xml:space="preserve">If testing scope is reduced under pressure, the risk register is updated and residual risk is documented in the release report.</w:t>
      </w:r>
    </w:p>
    <w:p>
      <w:pPr>
        <w:pStyle w:val="Heading2"/>
        <w:spacing w:before="160"/>
      </w:pPr>
      <w:r>
        <w:rPr>
          <w:b/>
          <w:bCs/>
        </w:rPr>
        <w:t xml:space="preserve">Review cadence</w:t>
      </w:r>
    </w:p>
    <w:p>
      <w:r>
        <w:rPr>
          <w:rFonts w:ascii="Arial" w:cs="Arial" w:eastAsia="Arial" w:hAnsi="Arial"/>
          <w:sz w:val="19"/>
          <w:szCs w:val="19"/>
        </w:rPr>
        <w:t xml:space="preserve">This policy is reviewed quarterly or when a significant change in product architecture, team structure, or risk profile warrants it. The risk register itself is reviewed every sprint (15 minutes).</w:t>
      </w:r>
    </w:p>
    <w:sectPr>
      <w:headerReference w:type="default" r:id="rId6"/>
      <w:pgSz w:w="11906" w:h="16838" w:orient="portrait"/>
      <w:pgMar w:top="1100" w:right="1200" w:bottom="1100" w:left="1200" w:header="708" w:footer="708" w:gutter="0"/>
      <w:pgNumType/>
      <w:docGrid w:linePitch="360"/>
    </w:sectPr>
  </w:body>
</w:document>
</file>

<file path=word/comments.xml><?xml version="1.0" encoding="utf-8"?>
<w:comment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pPr>
        <w:spacing w:after="0" w:line="240" w:lineRule="auto"/>
      </w:pPr>
      <w:r>
        <w:rPr>
          <w:rStyle w:val="FootnoteReference"/>
        </w:rPr>
        <w:footnoteRef/>
      </w:r>
      <w:r>
        <w:separator/>
      </w:r>
    </w:p>
  </w:footnote>
  <w:footnote w:type="continuationSeparator" w:id="0">
    <w:p>
      <w:pPr>
        <w:spacing w:after="0" w:line="240" w:lineRule="auto"/>
      </w:pPr>
      <w:r>
        <w:rPr>
          <w:rStyle w:val="FootnoteReference"/>
        </w:rPr>
        <w:footnoteRef/>
      </w: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w16cid="http://schemas.microsoft.com/office/word/2016/wordml/cid" xmlns:w16se="http://schemas.microsoft.com/office/word/2015/wordml/symex">
  <w:p>
    <w:pPr>
      <w:jc w:val="right"/>
    </w:pPr>
    <w:r>
      <w:rPr>
        <w:rFonts w:ascii="Arial" w:cs="Arial" w:eastAsia="Arial" w:hAnsi="Arial"/>
        <w:i/>
        <w:iCs/>
        <w:color w:val="999999"/>
        <w:sz w:val="16"/>
        <w:szCs w:val="16"/>
      </w:rPr>
      <w:t xml:space="preserve">[Your Company] - Test Depth Policy</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1" w15:restartNumberingAfterBreak="0">
    <w:multiLevelType w:val="hybridMultilevel"/>
    <w:lvl w:ilvl="0" w15:tentative="1">
      <w:start w:val="1"/>
      <w:numFmt w:val="bullet"/>
      <w:lvlText w:val="●"/>
      <w:lvlJc w:val="left"/>
      <w:pPr>
        <w:ind w:left="720" w:hanging="360"/>
      </w:pPr>
    </w:lvl>
    <w:lvl w:ilvl="1" w15:tentative="1">
      <w:start w:val="1"/>
      <w:numFmt w:val="bullet"/>
      <w:lvlText w:val="○"/>
      <w:lvlJc w:val="left"/>
      <w:pPr>
        <w:ind w:left="1440" w:hanging="360"/>
      </w:pPr>
    </w:lvl>
    <w:lvl w:ilvl="2" w15:tentative="1">
      <w:start w:val="1"/>
      <w:numFmt w:val="bullet"/>
      <w:lvlText w:val="■"/>
      <w:lvlJc w:val="left"/>
      <w:pPr>
        <w:ind w:left="2160" w:hanging="360"/>
      </w:pPr>
    </w:lvl>
    <w:lvl w:ilvl="3" w15:tentative="1">
      <w:start w:val="1"/>
      <w:numFmt w:val="bullet"/>
      <w:lvlText w:val="●"/>
      <w:lvlJc w:val="left"/>
      <w:pPr>
        <w:ind w:left="2880" w:hanging="360"/>
      </w:pPr>
    </w:lvl>
    <w:lvl w:ilvl="4" w15:tentative="1">
      <w:start w:val="1"/>
      <w:numFmt w:val="bullet"/>
      <w:lvlText w:val="○"/>
      <w:lvlJc w:val="left"/>
      <w:pPr>
        <w:ind w:left="3600" w:hanging="360"/>
      </w:pPr>
    </w:lvl>
    <w:lvl w:ilvl="5" w15:tentative="1">
      <w:start w:val="1"/>
      <w:numFmt w:val="bullet"/>
      <w:lvlText w:val="■"/>
      <w:lvlJc w:val="left"/>
      <w:pPr>
        <w:ind w:left="4320" w:hanging="360"/>
      </w:pPr>
    </w:lvl>
    <w:lvl w:ilvl="6" w15:tentative="1">
      <w:start w:val="1"/>
      <w:numFmt w:val="bullet"/>
      <w:lvlText w:val="●"/>
      <w:lvlJc w:val="left"/>
      <w:pPr>
        <w:ind w:left="5040" w:hanging="360"/>
      </w:pPr>
    </w:lvl>
    <w:lvl w:ilvl="7" w15:tentative="1">
      <w:start w:val="1"/>
      <w:numFmt w:val="bullet"/>
      <w:lvlText w:val="●"/>
      <w:lvlJc w:val="left"/>
      <w:pPr>
        <w:ind w:left="5760" w:hanging="360"/>
      </w:pPr>
    </w:lvl>
    <w:lvl w:ilvl="8" w15:tentative="1">
      <w:start w:val="1"/>
      <w:numFmt w:val="bullet"/>
      <w:lvlText w:val="●"/>
      <w:lvlJc w:val="left"/>
      <w:pPr>
        <w:ind w:left="6480" w:hanging="360"/>
      </w:pPr>
    </w:lvl>
  </w:abstractNum>
  <w:num w:numId="1">
    <w:abstractNumId w:val="1"/>
    <w:lvlOverride w:ilvl="0">
      <w:startOverride w:val="1"/>
    </w:lvlOverride>
  </w:num>
</w:numbering>
</file>

<file path=word/settings.xml><?xml version="1.0" encoding="utf-8"?>
<w:setting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isplayBackgroundShape/>
  <w:evenAndOddHeaders w:val="false"/>
  <w:compat>
    <w:compatSetting w:val="15" w:uri="http://schemas.microsoft.com/office/word" w:name="compatibilityMode"/>
  </w:compat>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cs="Arial" w:eastAsia="Arial" w:hAnsi="Arial"/>
        <w:sz w:val="20"/>
        <w:szCs w:val="20"/>
      </w:rPr>
    </w:rPrDefault>
    <w:pPrDefault/>
  </w:docDefaults>
  <w:style w:type="paragraph" w:styleId="Title">
    <w:name w:val="Title"/>
    <w:basedOn w:val="Normal"/>
    <w:next w:val="Normal"/>
    <w:qFormat/>
    <w:rPr>
      <w:sz w:val="56"/>
      <w:szCs w:val="56"/>
    </w:rPr>
  </w:style>
  <w:style w:type="paragraph" w:styleId="Heading1">
    <w:name w:val="Heading 1"/>
    <w:basedOn w:val="Normal"/>
    <w:next w:val="Normal"/>
    <w:qFormat/>
    <w:rPr>
      <w:color w:val="2E74B5"/>
      <w:sz w:val="32"/>
      <w:szCs w:val="32"/>
    </w:rPr>
  </w:style>
  <w:style w:type="paragraph" w:styleId="Heading2">
    <w:name w:val="Heading 2"/>
    <w:basedOn w:val="Normal"/>
    <w:next w:val="Normal"/>
    <w:qFormat/>
    <w:rPr>
      <w:color w:val="2E74B5"/>
      <w:sz w:val="26"/>
      <w:szCs w:val="26"/>
    </w:rPr>
  </w:style>
  <w:style w:type="paragraph" w:styleId="Heading3">
    <w:name w:val="Heading 3"/>
    <w:basedOn w:val="Normal"/>
    <w:next w:val="Normal"/>
    <w:qFormat/>
    <w:rPr>
      <w:color w:val="1F4D78"/>
      <w:sz w:val="24"/>
      <w:szCs w:val="24"/>
    </w:rPr>
  </w:style>
  <w:style w:type="paragraph" w:styleId="Heading4">
    <w:name w:val="Heading 4"/>
    <w:basedOn w:val="Normal"/>
    <w:next w:val="Normal"/>
    <w:qFormat/>
    <w:rPr>
      <w:i/>
      <w:iCs/>
      <w:color w:val="2E74B5"/>
    </w:rPr>
  </w:style>
  <w:style w:type="paragraph" w:styleId="Heading5">
    <w:name w:val="Heading 5"/>
    <w:basedOn w:val="Normal"/>
    <w:next w:val="Normal"/>
    <w:qFormat/>
    <w:rPr>
      <w:color w:val="2E74B5"/>
    </w:rPr>
  </w:style>
  <w:style w:type="paragraph" w:styleId="Heading6">
    <w:name w:val="Heading 6"/>
    <w:basedOn w:val="Normal"/>
    <w:next w:val="Normal"/>
    <w:qFormat/>
    <w:rPr>
      <w:color w:val="1F4D78"/>
    </w:rPr>
  </w:style>
  <w:style w:type="paragraph" w:styleId="Strong">
    <w:name w:val="Strong"/>
    <w:basedOn w:val="Normal"/>
    <w:next w:val="Normal"/>
    <w:qFormat/>
    <w:rPr>
      <w:b/>
      <w:bCs/>
    </w:rPr>
  </w:style>
  <w:style w:type="paragraph" w:styleId="ListParagraph">
    <w:name w:val="List Paragraph"/>
    <w:basedOn w:val="Normal"/>
    <w:qFormat/>
  </w:style>
  <w:style w:type="character" w:styleId="Hyperlink">
    <w:name w:val="Hyperlink"/>
    <w:basedOn w:val="DefaultParagraphFont"/>
    <w:uiPriority w:val="99"/>
    <w:unhideWhenUsed/>
    <w:rPr>
      <w:color w:val="0563C1"/>
      <w:u w:val="single"/>
    </w:rPr>
  </w:style>
  <w:style w:type="character" w:styleId="FootnoteReference">
    <w:name w:val="footnote reference"/>
    <w:basedOn w:val="DefaultParagraphFont"/>
    <w:uiPriority w:val="99"/>
    <w:semiHidden/>
    <w:unhideWhenUsed/>
    <w:rPr>
      <w:vertAlign w:val="superscript"/>
    </w:rPr>
  </w:style>
  <w:style w:type="paragraph" w:styleId="FootnoteText">
    <w:name w:val="footnote text"/>
    <w:basedOn w:val="Normal"/>
    <w:link w:val="FootnoteTextChar"/>
    <w:uiPriority w:val="99"/>
    <w:semiHidden/>
    <w:unhideWhenUsed/>
    <w:pPr>
      <w:spacing w:after="0" w:line="240" w:lineRule="auto"/>
    </w:pPr>
    <w:rPr>
      <w:sz w:val="20"/>
      <w:szCs w:val="20"/>
    </w:rPr>
  </w:style>
  <w:style w:type="character" w:styleId="FootnoteTextChar">
    <w:name w:val="Footnote Text Char"/>
    <w:basedOn w:val="DefaultParagraphFont"/>
    <w:link w:val="FootnoteText"/>
    <w:uiPriority w:val="99"/>
    <w:semiHidden/>
    <w:unhideWhenUsed/>
    <w:rPr>
      <w:sz w:val="20"/>
      <w:szCs w:val="20"/>
    </w:rPr>
  </w:style>
  <w:style w:type="paragraph" w:styleId="Heading1">
    <w:name w:val="Heading 1"/>
    <w:basedOn w:val="Normal"/>
    <w:next w:val="Normal"/>
    <w:qFormat/>
    <w:pPr>
      <w:spacing w:before="120" w:after="120"/>
      <w:outlineLvl w:val="0"/>
    </w:pPr>
    <w:rPr>
      <w:rFonts w:ascii="Arial" w:cs="Arial" w:eastAsia="Arial" w:hAnsi="Arial"/>
      <w:b/>
      <w:bCs/>
      <w:color w:val="1B3A5C"/>
      <w:sz w:val="28"/>
      <w:szCs w:val="28"/>
    </w:rPr>
  </w:style>
  <w:style w:type="paragraph" w:styleId="Heading2">
    <w:name w:val="Heading 2"/>
    <w:basedOn w:val="Normal"/>
    <w:next w:val="Normal"/>
    <w:qFormat/>
    <w:pPr>
      <w:spacing w:before="100" w:after="60"/>
      <w:outlineLvl w:val="1"/>
    </w:pPr>
    <w:rPr>
      <w:rFonts w:ascii="Arial" w:cs="Arial" w:eastAsia="Arial" w:hAnsi="Arial"/>
      <w:b/>
      <w:bCs/>
      <w:color w:val="2E75B6"/>
      <w:sz w:val="22"/>
      <w:szCs w:val="22"/>
    </w:rPr>
  </w:style>
</w:styles>
</file>

<file path=word/_rels/comments.xml.rels><?xml version="1.0" encoding="UTF-8"?><Relationships xmlns="http://schemas.openxmlformats.org/package/2006/relationships"/>
</file>

<file path=word/_rels/document.xml.rels><?xml version="1.0" encoding="UTF-8"?><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footnotes" Target="footnotes.xml"/><Relationship Id="rId4" Type="http://schemas.openxmlformats.org/officeDocument/2006/relationships/settings" Target="settings.xml"/><Relationship Id="rId5" Type="http://schemas.openxmlformats.org/officeDocument/2006/relationships/comments" Target="comments.xml"/><Relationship Id="rId6" Type="http://schemas.openxmlformats.org/officeDocument/2006/relationships/header" Target="header1.xml"/><Relationship Id="rId7" Type="http://schemas.openxmlformats.org/officeDocument/2006/relationships/fontTable" Target="fontTable.xml"/></Relationships>
</file>

<file path=word/_rels/fontTable.xml.rels><?xml version="1.0" encoding="UTF-8"?><Relationships xmlns="http://schemas.openxmlformats.org/package/2006/relationships"/>
</file>

<file path=word/_rels/footnotes.xml.rels><?xml version="1.0" encoding="UTF-8"?><Relationships xmlns="http://schemas.openxmlformats.org/package/2006/relationships"/>
</file>

<file path=word/_rels/header1.xml.rels><?xml version="1.0" encoding="UTF-8"?><Relationships xmlns="http://schemas.openxmlformats.org/package/2006/relationships"/>
</file>

<file path=docProps/app.xml><?xml version="1.0" encoding="utf-8"?>
<Properties xmlns="http://schemas.openxmlformats.org/officeDocument/2006/extended-properties" xmlns:vt="http://schemas.openxmlformats.org/officeDocument/2006/docPropsVTyp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Un-named</dc:creator>
  <cp:lastModifiedBy>Un-named</cp:lastModifiedBy>
  <cp:revision>1</cp:revision>
  <dcterms:created xsi:type="dcterms:W3CDTF">2026-03-02T10:22:01.287Z</dcterms:created>
  <dcterms:modified xsi:type="dcterms:W3CDTF">2026-03-02T10:22:01.288Z</dcterms:modified>
</cp:coreProperties>
</file>

<file path=docProps/custom.xml><?xml version="1.0" encoding="utf-8"?>
<Properties xmlns="http://schemas.openxmlformats.org/officeDocument/2006/custom-properties" xmlns:vt="http://schemas.openxmlformats.org/officeDocument/2006/docPropsVTypes"/>
</file>