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Release risk report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106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Release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[v2.4.0 / Sprint 18 / March 2026]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Date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[DD MMM YYYY]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Prepared by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[QA Lead name]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Recommendation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olor w:val="BF6900"/>
                <w:sz w:val="19"/>
                <w:szCs w:val="19"/>
              </w:rPr>
              <w:t xml:space="preserve">Conditional Go</w:t>
            </w:r>
            <w:r>
              <w:rPr>
                <w:rFonts w:ascii="Arial" w:cs="Arial" w:eastAsia="Arial" w:hAnsi="Arial"/>
                <w:sz w:val="19"/>
                <w:szCs w:val="19"/>
              </w:rPr>
              <w:t xml:space="preserve"> - two residual risks require monitoring post-release</w:t>
            </w:r>
          </w:p>
        </w:tc>
      </w:tr>
    </w:tbl>
    <w:p>
      <w:pPr>
        <w:pStyle w:val="Heading2"/>
      </w:pPr>
      <w:r>
        <w:rPr>
          <w:b/>
          <w:bCs/>
        </w:rPr>
        <w:t xml:space="preserve">Risk coverage summary</w:t>
      </w:r>
    </w:p>
    <w:p>
      <w:pPr>
        <w:spacing w:after="100"/>
      </w:pPr>
      <w:r>
        <w:rPr>
          <w:rFonts w:ascii="Arial" w:cs="Arial" w:eastAsia="Arial" w:hAnsi="Arial"/>
          <w:sz w:val="19"/>
          <w:szCs w:val="19"/>
        </w:rPr>
        <w:t xml:space="preserve">This report summarises the risk-based testing performed for this release. It covers risk coverage, residual risks, and a release readiness recommendation.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1500"/>
        <w:gridCol w:w="1500"/>
        <w:gridCol w:w="3306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Metric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Count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  <w:tc>
          <w:tcPr>
            <w:tcW w:type="dxa" w:w="3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Tier 1 risks identified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4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AD3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olor w:val="38761D"/>
                <w:sz w:val="19"/>
                <w:szCs w:val="19"/>
              </w:rPr>
              <w:t xml:space="preserve">3 mitigated</w:t>
            </w:r>
          </w:p>
        </w:tc>
        <w:tc>
          <w:tcPr>
            <w:tcW w:type="dxa" w:w="3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R-001, R-002, R-010 fully tested. R-007 partially tested (email provider blocked in staging).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Tier 2 risks identified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3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AD3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olor w:val="38761D"/>
                <w:sz w:val="19"/>
                <w:szCs w:val="19"/>
              </w:rPr>
              <w:t xml:space="preserve">2 mitigated</w:t>
            </w:r>
          </w:p>
        </w:tc>
        <w:tc>
          <w:tcPr>
            <w:tcW w:type="dxa" w:w="3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R-003, R-004 tested. R-006 deferred (low change this sprint).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Tier 3 risks identified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3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AD3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olor w:val="38761D"/>
                <w:sz w:val="19"/>
                <w:szCs w:val="19"/>
              </w:rPr>
              <w:t xml:space="preserve">Baseline pass</w:t>
            </w:r>
          </w:p>
        </w:tc>
        <w:tc>
          <w:tcPr>
            <w:tcW w:type="dxa" w:w="3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R-005, R-008, R-009 covered by baseline smoke tests.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Minimum baseline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10 tests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AD3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olor w:val="38761D"/>
                <w:sz w:val="19"/>
                <w:szCs w:val="19"/>
              </w:rPr>
              <w:t xml:space="preserve">All pass</w:t>
            </w:r>
          </w:p>
        </w:tc>
        <w:tc>
          <w:tcPr>
            <w:tcW w:type="dxa" w:w="3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Full baseline executed. No failures.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Defects found (this cycle)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3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5CD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olor w:val="BF6900"/>
                <w:sz w:val="19"/>
                <w:szCs w:val="19"/>
              </w:rPr>
              <w:t xml:space="preserve">1 open</w:t>
            </w:r>
          </w:p>
        </w:tc>
        <w:tc>
          <w:tcPr>
            <w:tcW w:type="dxa" w:w="3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2 resolved (payment logging, search index). 1 open (session token, medium severity, workaround exists).</w:t>
            </w:r>
          </w:p>
        </w:tc>
      </w:tr>
    </w:tbl>
    <w:p>
      <w:pPr>
        <w:pStyle w:val="Heading2"/>
      </w:pPr>
      <w:r>
        <w:rPr>
          <w:b/>
          <w:bCs/>
        </w:rPr>
        <w:t xml:space="preserve">Residual risks</w:t>
      </w:r>
    </w:p>
    <w:p>
      <w:pPr>
        <w:spacing w:after="100"/>
      </w:pPr>
      <w:r>
        <w:rPr>
          <w:rFonts w:ascii="Arial" w:cs="Arial" w:eastAsia="Arial" w:hAnsi="Arial"/>
          <w:sz w:val="19"/>
          <w:szCs w:val="19"/>
        </w:rPr>
        <w:t xml:space="preserve">These are risks that are not fully mitigated at time of release. Each includes a rationale for proceeding and any post-release actions.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0"/>
        <w:gridCol w:w="2800"/>
        <w:gridCol w:w="2000"/>
        <w:gridCol w:w="3706"/>
      </w:tblGrid>
      <w:tr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Risk ID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Risk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Gap</w:t>
            </w:r>
          </w:p>
        </w:tc>
        <w:tc>
          <w:tcPr>
            <w:tcW w:type="dxa" w:w="3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Mitigation / Acceptance</w:t>
            </w:r>
          </w:p>
        </w:tc>
      </w:tr>
      <w:tr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R-007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Email delivery failures via third-party provider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5CD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Retry/fallback path not tested (TC-702 blocked)</w:t>
            </w:r>
          </w:p>
        </w:tc>
        <w:tc>
          <w:tcPr>
            <w:tcW w:type="dxa" w:w="3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Primary delivery path tested and passing. Retry logic unchanged from last release. Monitoring dashboard active. Manual fallback procedure documented. Post-release: retest TC-702 when staging email provider restored.</w:t>
            </w:r>
          </w:p>
        </w:tc>
      </w:tr>
      <w:tr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R-002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Stale session after password change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4CCC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Bug found in multi-device session handling (TC-202 fail)</w:t>
            </w:r>
          </w:p>
        </w:tc>
        <w:tc>
          <w:tcPr>
            <w:tcW w:type="dxa" w:w="3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Single-device flow works correctly. Multi-device issue affects ~5% of users. Workaround: users can manually log out of other devices. Fix scheduled for next sprint. Risk accepted by Product Owner [name, date].</w:t>
            </w:r>
          </w:p>
        </w:tc>
      </w:tr>
    </w:tbl>
    <w:p>
      <w:pPr>
        <w:pStyle w:val="Heading2"/>
      </w:pPr>
      <w:r>
        <w:rPr>
          <w:b/>
          <w:bCs/>
        </w:rPr>
        <w:t xml:space="preserve">Release recommendation</w:t>
      </w:r>
    </w:p>
    <w:p>
      <w:pPr>
        <w:spacing w:after="80"/>
      </w:pPr>
      <w:r>
        <w:rPr>
          <w:rFonts w:ascii="Arial" w:cs="Arial" w:eastAsia="Arial" w:hAnsi="Arial"/>
          <w:sz w:val="19"/>
          <w:szCs w:val="19"/>
        </w:rPr>
        <w:t xml:space="preserve">Based on the testing performed, QA recommends a </w:t>
      </w:r>
      <w:r>
        <w:rPr>
          <w:rFonts w:ascii="Arial" w:cs="Arial" w:eastAsia="Arial" w:hAnsi="Arial"/>
          <w:b/>
          <w:bCs/>
          <w:color w:val="BF6900"/>
          <w:sz w:val="19"/>
          <w:szCs w:val="19"/>
        </w:rPr>
        <w:t xml:space="preserve">conditional go</w:t>
      </w:r>
      <w:r>
        <w:rPr>
          <w:rFonts w:ascii="Arial" w:cs="Arial" w:eastAsia="Arial" w:hAnsi="Arial"/>
          <w:sz w:val="19"/>
          <w:szCs w:val="19"/>
        </w:rPr>
        <w:t xml:space="preserve"> for this release.</w:t>
      </w:r>
    </w:p>
    <w:p>
      <w:pPr>
        <w:spacing w:after="60"/>
      </w:pPr>
      <w:r>
        <w:rPr>
          <w:rFonts w:ascii="Arial" w:cs="Arial" w:eastAsia="Arial" w:hAnsi="Arial"/>
          <w:sz w:val="19"/>
          <w:szCs w:val="19"/>
        </w:rPr>
        <w:t xml:space="preserve">The two residual risks above have been reviewed with the Product Owner. Both have workarounds in place and follow-up actions scheduled. No Tier 1 risks are unmitigated. The minimum baseline passed in full.</w:t>
      </w:r>
    </w:p>
    <w:p>
      <w:pPr>
        <w:pStyle w:val="Heading2"/>
      </w:pPr>
      <w:r>
        <w:rPr>
          <w:b/>
          <w:bCs/>
        </w:rPr>
        <w:t xml:space="preserve">Sign-off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800"/>
        <w:gridCol w:w="2000"/>
        <w:gridCol w:w="1906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Decision</w:t>
            </w:r>
          </w:p>
        </w:tc>
        <w:tc>
          <w:tcPr>
            <w:tcW w:type="dxa" w:w="19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QA Lead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[Name]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Conditional Go</w:t>
            </w:r>
          </w:p>
        </w:tc>
        <w:tc>
          <w:tcPr>
            <w:tcW w:type="dxa" w:w="19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[Date]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Product Owner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[Name]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[Go / No Go]</w:t>
            </w:r>
          </w:p>
        </w:tc>
        <w:tc>
          <w:tcPr>
            <w:tcW w:type="dxa" w:w="19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[Date]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Engineering Lead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[Name]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[Go / No Go]</w:t>
            </w:r>
          </w:p>
        </w:tc>
        <w:tc>
          <w:tcPr>
            <w:tcW w:type="dxa" w:w="19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[Date]</w:t>
            </w:r>
          </w:p>
        </w:tc>
      </w:tr>
    </w:tbl>
    <w:sectPr>
      <w:headerReference w:type="default" r:id="rId6"/>
      <w:pgSz w:w="11906" w:h="16838" w:orient="portrait"/>
      <w:pgMar w:top="1100" w:right="1200" w:bottom="11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i/>
        <w:iCs/>
        <w:color w:val="999999"/>
        <w:sz w:val="16"/>
        <w:szCs w:val="16"/>
      </w:rPr>
      <w:t xml:space="preserve">[Your Company] - Release Risk Report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160" w:after="120"/>
      <w:outlineLvl w:val="0"/>
    </w:pPr>
    <w:rPr>
      <w:rFonts w:ascii="Arial" w:cs="Arial" w:eastAsia="Arial" w:hAnsi="Arial"/>
      <w:b/>
      <w:bCs/>
      <w:color w:val="1B3A5C"/>
      <w:sz w:val="28"/>
      <w:szCs w:val="28"/>
    </w:rPr>
  </w:style>
  <w:style w:type="paragraph" w:styleId="Heading2">
    <w:name w:val="Heading 2"/>
    <w:basedOn w:val="Normal"/>
    <w:next w:val="Normal"/>
    <w:qFormat/>
    <w:pPr>
      <w:spacing w:before="140" w:after="80"/>
      <w:outlineLvl w:val="1"/>
    </w:pPr>
    <w:rPr>
      <w:rFonts w:ascii="Arial" w:cs="Arial" w:eastAsia="Arial" w:hAnsi="Arial"/>
      <w:b/>
      <w:bCs/>
      <w:color w:val="2E75B6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2026-03-02T10:22:01.815Z</dcterms:created>
  <dcterms:modified xsi:type="dcterms:W3CDTF">2026-03-02T10:22:01.816Z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